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C7" w:rsidRPr="004B4EFB" w:rsidRDefault="00511B41" w:rsidP="00511B41">
      <w:pPr>
        <w:pStyle w:val="Standard"/>
        <w:spacing w:after="120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noProof/>
          <w:lang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-558165</wp:posOffset>
            </wp:positionV>
            <wp:extent cx="2233930" cy="578485"/>
            <wp:effectExtent l="0" t="0" r="0" b="0"/>
            <wp:wrapNone/>
            <wp:docPr id="2" name="Sl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5784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225FA" w:rsidRPr="004B4EFB">
        <w:rPr>
          <w:rFonts w:ascii="Times New Roman" w:hAnsi="Times New Roman" w:cs="Times New Roman"/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2454121</wp:posOffset>
                </wp:positionH>
                <wp:positionV relativeFrom="paragraph">
                  <wp:posOffset>-557637</wp:posOffset>
                </wp:positionV>
                <wp:extent cx="3665216" cy="556256"/>
                <wp:effectExtent l="0" t="0" r="11434" b="15244"/>
                <wp:wrapNone/>
                <wp:docPr id="1" name="Obli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16" cy="556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C1EC7" w:rsidRDefault="00A225FA"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Maslačak d.o.o. za razvoj i usluge</w:t>
                            </w:r>
                          </w:p>
                          <w:p w:rsidR="000C1EC7" w:rsidRDefault="00A225FA">
                            <w:proofErr w:type="spellStart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Levanjska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 Varoš 70, 31416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>Levanjska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 xml:space="preserve"> Varoš</w:t>
                            </w:r>
                            <w:r>
                              <w:rPr>
                                <w:rFonts w:ascii="Cambria" w:hAnsi="Cambria" w:cs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C1EC7" w:rsidRDefault="00A225FA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Tel: 0976030490 email: info@maslacak-levanjskavaros.hr</w:t>
                            </w:r>
                          </w:p>
                          <w:p w:rsidR="000C1EC7" w:rsidRDefault="00A225FA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sz w:val="18"/>
                                <w:szCs w:val="18"/>
                              </w:rPr>
                              <w:t>OIB:84254022103  IBAN: HR5223600001102872071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lik1" o:spid="_x0000_s1026" type="#_x0000_t202" style="position:absolute;margin-left:193.25pt;margin-top:-43.9pt;width:288.6pt;height:43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" filled="f" stroked="f">
                <v:textbox inset="0,0,0,0">
                  <w:txbxContent>
                    <w:p w:rsidR="000C1EC7" w:rsidRDefault="00A225FA"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Maslačak d.o.o. za razvoj i usluge</w:t>
                      </w:r>
                    </w:p>
                    <w:p w:rsidR="000C1EC7" w:rsidRDefault="00A225FA">
                      <w:proofErr w:type="spellStart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Levanjska</w:t>
                      </w:r>
                      <w:proofErr w:type="spellEnd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 Varoš 70, 31416 </w:t>
                      </w:r>
                      <w:proofErr w:type="spellStart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>Levanjska</w:t>
                      </w:r>
                      <w:proofErr w:type="spellEnd"/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 xml:space="preserve"> Varoš</w:t>
                      </w:r>
                      <w:r>
                        <w:rPr>
                          <w:rFonts w:ascii="Cambria" w:hAnsi="Cambria" w:cs="Cambria"/>
                          <w:sz w:val="18"/>
                          <w:szCs w:val="18"/>
                        </w:rPr>
                        <w:tab/>
                      </w:r>
                    </w:p>
                    <w:p w:rsidR="000C1EC7" w:rsidRDefault="00A225FA"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Tel: 0976030490 email: info@maslacak-levanjskavaros.hr</w:t>
                      </w:r>
                    </w:p>
                    <w:p w:rsidR="000C1EC7" w:rsidRDefault="00A225FA">
                      <w:r>
                        <w:rPr>
                          <w:rFonts w:ascii="Cambria" w:hAnsi="Cambria" w:cs="Cambria"/>
                          <w:i/>
                          <w:iCs/>
                          <w:sz w:val="18"/>
                          <w:szCs w:val="18"/>
                        </w:rPr>
                        <w:t>OIB:84254022103  IBAN: HR5223600001102872071</w:t>
                      </w:r>
                    </w:p>
                  </w:txbxContent>
                </v:textbox>
              </v:shape>
            </w:pict>
          </mc:Fallback>
        </mc:AlternateConten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</w:rPr>
      </w:pPr>
      <w:proofErr w:type="spellStart"/>
      <w:r w:rsidRPr="004B4EFB">
        <w:rPr>
          <w:rFonts w:ascii="Times New Roman" w:hAnsi="Times New Roman" w:cs="Times New Roman"/>
          <w:sz w:val="22"/>
          <w:szCs w:val="22"/>
        </w:rPr>
        <w:t>Levanjska</w:t>
      </w:r>
      <w:proofErr w:type="spellEnd"/>
      <w:r w:rsidRPr="004B4EFB">
        <w:rPr>
          <w:rFonts w:ascii="Times New Roman" w:hAnsi="Times New Roman" w:cs="Times New Roman"/>
          <w:sz w:val="22"/>
          <w:szCs w:val="22"/>
        </w:rPr>
        <w:t xml:space="preserve"> Varoš, </w:t>
      </w:r>
      <w:r w:rsidR="00BE78CB">
        <w:rPr>
          <w:rFonts w:ascii="Times New Roman" w:hAnsi="Times New Roman" w:cs="Times New Roman"/>
          <w:sz w:val="22"/>
          <w:szCs w:val="22"/>
        </w:rPr>
        <w:t>09.01.2024.</w:t>
      </w: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  <w:sz w:val="22"/>
          <w:szCs w:val="22"/>
        </w:rPr>
      </w:pP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  <w:r w:rsidRPr="004B4EFB">
        <w:rPr>
          <w:rFonts w:ascii="Times New Roman" w:hAnsi="Times New Roman" w:cs="Times New Roman"/>
          <w:sz w:val="22"/>
          <w:szCs w:val="22"/>
        </w:rPr>
        <w:tab/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C7" w:rsidRPr="004B4EFB" w:rsidRDefault="00A225FA" w:rsidP="00511B4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  <w:t>OPĆINA LEVANJSKA VAROŠ</w:t>
      </w:r>
    </w:p>
    <w:p w:rsidR="000C1EC7" w:rsidRPr="004B4EFB" w:rsidRDefault="00A225FA" w:rsidP="00511B41">
      <w:pPr>
        <w:pStyle w:val="Standard"/>
        <w:rPr>
          <w:rFonts w:ascii="Times New Roman" w:hAnsi="Times New Roman" w:cs="Times New Roman"/>
          <w:b/>
          <w:bCs/>
          <w:sz w:val="22"/>
          <w:szCs w:val="22"/>
        </w:rPr>
      </w:pP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spellStart"/>
      <w:r w:rsidRPr="004B4EFB">
        <w:rPr>
          <w:rFonts w:ascii="Times New Roman" w:hAnsi="Times New Roman" w:cs="Times New Roman"/>
          <w:b/>
          <w:bCs/>
          <w:sz w:val="22"/>
          <w:szCs w:val="22"/>
        </w:rPr>
        <w:t>Levanjska</w:t>
      </w:r>
      <w:proofErr w:type="spellEnd"/>
      <w:r w:rsidRPr="004B4EFB">
        <w:rPr>
          <w:rFonts w:ascii="Times New Roman" w:hAnsi="Times New Roman" w:cs="Times New Roman"/>
          <w:b/>
          <w:bCs/>
          <w:sz w:val="22"/>
          <w:szCs w:val="22"/>
        </w:rPr>
        <w:t xml:space="preserve"> Varoš 70</w:t>
      </w: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B4E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31416 </w:t>
      </w:r>
      <w:proofErr w:type="spellStart"/>
      <w:r w:rsidRPr="004B4EFB">
        <w:rPr>
          <w:rFonts w:ascii="Times New Roman" w:hAnsi="Times New Roman" w:cs="Times New Roman"/>
          <w:b/>
          <w:bCs/>
          <w:sz w:val="22"/>
          <w:szCs w:val="22"/>
        </w:rPr>
        <w:t>Levanjska</w:t>
      </w:r>
      <w:proofErr w:type="spellEnd"/>
      <w:r w:rsidRPr="004B4EFB">
        <w:rPr>
          <w:rFonts w:ascii="Times New Roman" w:hAnsi="Times New Roman" w:cs="Times New Roman"/>
          <w:b/>
          <w:bCs/>
          <w:sz w:val="22"/>
          <w:szCs w:val="22"/>
        </w:rPr>
        <w:t xml:space="preserve"> Varoš</w: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0C1EC7" w:rsidRPr="004B4EFB" w:rsidRDefault="00A225FA" w:rsidP="00511B41">
      <w:pPr>
        <w:pStyle w:val="Standard"/>
        <w:spacing w:after="120"/>
        <w:ind w:left="1701" w:hanging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4EFB">
        <w:rPr>
          <w:rFonts w:ascii="Times New Roman" w:hAnsi="Times New Roman" w:cs="Times New Roman"/>
          <w:b/>
          <w:bCs/>
          <w:sz w:val="28"/>
          <w:szCs w:val="28"/>
        </w:rPr>
        <w:t>PREDMET: Prethodna suglasnost na izmjene Cjenika obavljanja uslužnih komunalnih djelatno</w:t>
      </w:r>
      <w:r w:rsidR="00511B41" w:rsidRPr="004B4EFB">
        <w:rPr>
          <w:rFonts w:ascii="Times New Roman" w:hAnsi="Times New Roman" w:cs="Times New Roman"/>
          <w:b/>
          <w:bCs/>
          <w:sz w:val="28"/>
          <w:szCs w:val="28"/>
        </w:rPr>
        <w:t>sti ukopa i ispraćaja pokojnika</w: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b/>
          <w:bCs/>
        </w:rPr>
      </w:pPr>
    </w:p>
    <w:p w:rsidR="00511B41" w:rsidRPr="004B4EFB" w:rsidRDefault="00511B41" w:rsidP="00511B41">
      <w:pPr>
        <w:pStyle w:val="Standard"/>
        <w:spacing w:after="120"/>
        <w:rPr>
          <w:rFonts w:ascii="Times New Roman" w:hAnsi="Times New Roman" w:cs="Times New Roman"/>
          <w:b/>
          <w:bCs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B4EFB">
        <w:rPr>
          <w:rFonts w:ascii="Times New Roman" w:hAnsi="Times New Roman" w:cs="Times New Roman"/>
          <w:b/>
          <w:sz w:val="28"/>
          <w:szCs w:val="28"/>
        </w:rPr>
        <w:t>Uvod i Zakonodavni okvir</w:t>
      </w:r>
    </w:p>
    <w:p w:rsidR="00511B41" w:rsidRPr="004B4EFB" w:rsidRDefault="00A225FA" w:rsidP="00511B41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 xml:space="preserve">Maslačak d.o.o., sukladno </w:t>
      </w:r>
      <w:r w:rsidR="00511B41" w:rsidRPr="004B4EFB">
        <w:rPr>
          <w:rFonts w:ascii="Times New Roman" w:hAnsi="Times New Roman" w:cs="Times New Roman"/>
        </w:rPr>
        <w:t xml:space="preserve">Odluci o povjeravanju obavljanja komunalnih djelatnosti („Službeni glasnik Općine </w:t>
      </w:r>
      <w:proofErr w:type="spellStart"/>
      <w:r w:rsidR="00511B41" w:rsidRPr="004B4EFB">
        <w:rPr>
          <w:rFonts w:ascii="Times New Roman" w:hAnsi="Times New Roman" w:cs="Times New Roman"/>
        </w:rPr>
        <w:t>Levanjska</w:t>
      </w:r>
      <w:proofErr w:type="spellEnd"/>
      <w:r w:rsidR="00511B41" w:rsidRPr="004B4EFB">
        <w:rPr>
          <w:rFonts w:ascii="Times New Roman" w:hAnsi="Times New Roman" w:cs="Times New Roman"/>
        </w:rPr>
        <w:t xml:space="preserve"> Varoš“, broj 6/20) </w:t>
      </w:r>
      <w:r w:rsidRPr="004B4EFB">
        <w:rPr>
          <w:rFonts w:ascii="Times New Roman" w:hAnsi="Times New Roman" w:cs="Times New Roman"/>
        </w:rPr>
        <w:t xml:space="preserve"> i Odluci o grobljima („Službeni glasnik Općine </w:t>
      </w:r>
      <w:proofErr w:type="spellStart"/>
      <w:r w:rsidRPr="004B4EFB">
        <w:rPr>
          <w:rFonts w:ascii="Times New Roman" w:hAnsi="Times New Roman" w:cs="Times New Roman"/>
        </w:rPr>
        <w:t>Levanjska</w:t>
      </w:r>
      <w:proofErr w:type="spellEnd"/>
      <w:r w:rsidRPr="004B4EFB">
        <w:rPr>
          <w:rFonts w:ascii="Times New Roman" w:hAnsi="Times New Roman" w:cs="Times New Roman"/>
        </w:rPr>
        <w:t xml:space="preserve"> Varoš“ br. </w:t>
      </w:r>
      <w:r w:rsidR="00511B41" w:rsidRPr="004B4EFB">
        <w:rPr>
          <w:rFonts w:ascii="Times New Roman" w:hAnsi="Times New Roman" w:cs="Times New Roman"/>
        </w:rPr>
        <w:t>9/20</w:t>
      </w:r>
      <w:r w:rsidRPr="004B4EFB">
        <w:rPr>
          <w:rFonts w:ascii="Times New Roman" w:hAnsi="Times New Roman" w:cs="Times New Roman"/>
        </w:rPr>
        <w:t xml:space="preserve">) komunalnu uslugu </w:t>
      </w:r>
      <w:r w:rsidR="00511B41" w:rsidRPr="004B4EFB">
        <w:rPr>
          <w:rFonts w:ascii="Times New Roman" w:hAnsi="Times New Roman" w:cs="Times New Roman"/>
        </w:rPr>
        <w:t xml:space="preserve">obavlja </w:t>
      </w:r>
      <w:r w:rsidRPr="004B4EFB">
        <w:rPr>
          <w:rFonts w:ascii="Times New Roman" w:hAnsi="Times New Roman" w:cs="Times New Roman"/>
        </w:rPr>
        <w:t xml:space="preserve">na grobljima na području općine </w:t>
      </w:r>
      <w:proofErr w:type="spellStart"/>
      <w:r w:rsidRPr="004B4EFB">
        <w:rPr>
          <w:rFonts w:ascii="Times New Roman" w:hAnsi="Times New Roman" w:cs="Times New Roman"/>
        </w:rPr>
        <w:t>Levanjska</w:t>
      </w:r>
      <w:proofErr w:type="spellEnd"/>
      <w:r w:rsidRPr="004B4EFB">
        <w:rPr>
          <w:rFonts w:ascii="Times New Roman" w:hAnsi="Times New Roman" w:cs="Times New Roman"/>
        </w:rPr>
        <w:t xml:space="preserve"> Varoš odnosno na mjesnim grobljima </w:t>
      </w:r>
      <w:proofErr w:type="spellStart"/>
      <w:r w:rsidRPr="004B4EFB">
        <w:rPr>
          <w:rFonts w:ascii="Times New Roman" w:hAnsi="Times New Roman" w:cs="Times New Roman"/>
        </w:rPr>
        <w:t>Levanjska</w:t>
      </w:r>
      <w:proofErr w:type="spellEnd"/>
      <w:r w:rsidRPr="004B4EFB">
        <w:rPr>
          <w:rFonts w:ascii="Times New Roman" w:hAnsi="Times New Roman" w:cs="Times New Roman"/>
        </w:rPr>
        <w:t xml:space="preserve"> Varoš, Breznica Đakovačka, </w:t>
      </w:r>
      <w:proofErr w:type="spellStart"/>
      <w:r w:rsidRPr="004B4EFB">
        <w:rPr>
          <w:rFonts w:ascii="Times New Roman" w:hAnsi="Times New Roman" w:cs="Times New Roman"/>
        </w:rPr>
        <w:t>Majar</w:t>
      </w:r>
      <w:proofErr w:type="spellEnd"/>
      <w:r w:rsidRPr="004B4EFB">
        <w:rPr>
          <w:rFonts w:ascii="Times New Roman" w:hAnsi="Times New Roman" w:cs="Times New Roman"/>
        </w:rPr>
        <w:t xml:space="preserve"> katoličko, </w:t>
      </w:r>
      <w:proofErr w:type="spellStart"/>
      <w:r w:rsidRPr="004B4EFB">
        <w:rPr>
          <w:rFonts w:ascii="Times New Roman" w:hAnsi="Times New Roman" w:cs="Times New Roman"/>
        </w:rPr>
        <w:t>Majar</w:t>
      </w:r>
      <w:proofErr w:type="spellEnd"/>
      <w:r w:rsidRPr="004B4EFB">
        <w:rPr>
          <w:rFonts w:ascii="Times New Roman" w:hAnsi="Times New Roman" w:cs="Times New Roman"/>
        </w:rPr>
        <w:t xml:space="preserve"> pravoslavno, Slobodna Vlast, Ratkov Dol, Musić, </w:t>
      </w:r>
      <w:proofErr w:type="spellStart"/>
      <w:r w:rsidRPr="004B4EFB">
        <w:rPr>
          <w:rFonts w:ascii="Times New Roman" w:hAnsi="Times New Roman" w:cs="Times New Roman"/>
        </w:rPr>
        <w:t>Milinac</w:t>
      </w:r>
      <w:proofErr w:type="spellEnd"/>
      <w:r w:rsidRPr="004B4EFB">
        <w:rPr>
          <w:rFonts w:ascii="Times New Roman" w:hAnsi="Times New Roman" w:cs="Times New Roman"/>
        </w:rPr>
        <w:t xml:space="preserve"> i Paučje.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Maslačak d.o.o. komunalnu uslugu ukopa obavlja sukladno Zakonu o komunalnom gospodarstvu („Narodne novine“ br. 68/18, 110/18 i 32/20), Zakon</w:t>
      </w:r>
      <w:r w:rsidR="00511B41" w:rsidRPr="004B4EFB">
        <w:rPr>
          <w:rFonts w:ascii="Times New Roman" w:hAnsi="Times New Roman" w:cs="Times New Roman"/>
        </w:rPr>
        <w:t>u</w:t>
      </w:r>
      <w:r w:rsidRPr="004B4EFB">
        <w:rPr>
          <w:rFonts w:ascii="Times New Roman" w:hAnsi="Times New Roman" w:cs="Times New Roman"/>
        </w:rPr>
        <w:t xml:space="preserve"> o grobljima („Narodne novine“ br. 19/98, 50/22 i 89/17), Pravilniku o grobljima (99/02), Pravilniku o uvjetima i načinu obavljanja opremanja, prijenosa, prijevoza, kremiranja, pogreba i iskopavanja umrlih osoba te o uvjetima glede prostora i opreme pravnih i fizičkih osoba za obavljanje opremanja, prijenosa, prijevoza, kremiranja, pogreba i iskopavanja umrlih osoba („Narodne novine“ br. 116/18, 50/20 i 61/23) i Odluci o grobljima ( „Službeni glasnik Općine </w:t>
      </w:r>
      <w:proofErr w:type="spellStart"/>
      <w:r w:rsidRPr="004B4EFB">
        <w:rPr>
          <w:rFonts w:ascii="Times New Roman" w:hAnsi="Times New Roman" w:cs="Times New Roman"/>
        </w:rPr>
        <w:t>Levanjska</w:t>
      </w:r>
      <w:proofErr w:type="spellEnd"/>
      <w:r w:rsidRPr="004B4EFB">
        <w:rPr>
          <w:rFonts w:ascii="Times New Roman" w:hAnsi="Times New Roman" w:cs="Times New Roman"/>
        </w:rPr>
        <w:t xml:space="preserve"> Varoš“ br. </w:t>
      </w:r>
      <w:r w:rsidR="00AE686B" w:rsidRPr="004B4EFB">
        <w:rPr>
          <w:rFonts w:ascii="Times New Roman" w:hAnsi="Times New Roman" w:cs="Times New Roman"/>
        </w:rPr>
        <w:t>9/20</w:t>
      </w:r>
      <w:r w:rsidRPr="004B4EFB">
        <w:rPr>
          <w:rFonts w:ascii="Times New Roman" w:hAnsi="Times New Roman" w:cs="Times New Roman"/>
        </w:rPr>
        <w:t>).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 xml:space="preserve">Zakon o komunalnom gospodarstvu („Narodne novine“ br. 68/18, 110/18 i 32/20) – u daljnjem tekstu: Zakon, u čl. 24., propisuje da je usluga ukopa i kremiranja pokojnika u krematoriju unutar groblja uslužna komunalna djelatnost. 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Odredbom čl. 25. Stavak 3. Zakona, propisano je da usluga ukopa i kremiranja pokojnika u krematoriju unutar groblja podrazumijeva ispraćaj, kremiranje i ukop unutar groblja u skladu s posebnim propisima.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Odredbom čl. 53. Zakona, propisano je da cijenu, način obračuna i plaćanja komunalne usluge određuje isporučitelj komunalne usluge, na način propisan ovim Zakonom i posebnim propisima.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 xml:space="preserve">Odredbom čl. 55. Stavak 1. Zakona, isporučitelj komunalne usluge dužan je za cjenik komunalnih usluga i za svaku njegovu izmjenu ili dopunu pribaviti prethodnu suglasnost </w:t>
      </w:r>
      <w:r w:rsidR="00AE686B" w:rsidRPr="004B4EFB">
        <w:rPr>
          <w:rFonts w:ascii="Times New Roman" w:hAnsi="Times New Roman" w:cs="Times New Roman"/>
        </w:rPr>
        <w:t>gradonačelnika</w:t>
      </w:r>
      <w:r w:rsidRPr="004B4EFB">
        <w:rPr>
          <w:rFonts w:ascii="Times New Roman" w:hAnsi="Times New Roman" w:cs="Times New Roman"/>
        </w:rPr>
        <w:t xml:space="preserve"> odnosno općinskog načelnika jedinice lokalne samouprave na području na kojem se isporučuje komunalna usluga.</w:t>
      </w:r>
    </w:p>
    <w:p w:rsidR="000C1EC7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U nastavku teksta  prikazan je tablični prikaz važećeg cjenika pogrebnih usluga – CJENIK KOMUNALNIH USLUGA UKOPA, u primjeni od dana 2. siječnja 2021. godine.</w: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lastRenderedPageBreak/>
        <w:t>Važeći CJENIK KOMUNALNE USLUGE UKOPA</w:t>
      </w:r>
    </w:p>
    <w:p w:rsidR="000C1EC7" w:rsidRPr="004B4EFB" w:rsidRDefault="000C1EC7" w:rsidP="00511B41">
      <w:pPr>
        <w:pStyle w:val="Standard"/>
        <w:spacing w:after="120"/>
        <w:jc w:val="center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703"/>
        <w:gridCol w:w="1644"/>
        <w:gridCol w:w="1248"/>
        <w:gridCol w:w="1419"/>
      </w:tblGrid>
      <w:tr w:rsidR="000C1EC7" w:rsidRPr="004B4EFB" w:rsidTr="00AE686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center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center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Naziv usluge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center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Cijena bez PDV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center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PDV (25%)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center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Cijena s PDV</w:t>
            </w:r>
            <w:r w:rsidR="00AE686B" w:rsidRPr="004B4EFB">
              <w:rPr>
                <w:rFonts w:ascii="Times New Roman" w:hAnsi="Times New Roman" w:cs="Times New Roman"/>
              </w:rPr>
              <w:t xml:space="preserve"> (€)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Kopanje rake sa zatrpavanjem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53,09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66,36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Kopanje rake u okviru sa zatrpavanjem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59,73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14,93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74,66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Kopanje rake u okviru s pokrovnom pločom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16,59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82,95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Otvaranje grobnice sa zatvaranjem (ploča do 1m širine)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44,80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Otvaranje grobnice sa zatvaranjem (ploča preko 1m širine)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42,47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10,62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53,09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Kopanje rake za urnu u zemlji dim. otvora 40x40cm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7,96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9.95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Polaganje urne u klasični grob, grobnicu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2,65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Ispraćaj pokojnika s polaganjem u grob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13,27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16,60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Ispraćaj urne od mrtvačnice do grobnog mjesta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10,61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Korištenje mrtvačnice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7,96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Korištenje rashladnog odra – prvi dan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5,31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Korištenje rashladnog odra – svaki sljedeći dan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2,65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Sanacija grobnog humka nakon slijeganja zemlje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7,96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Odvoz i zbrinjavanje dotrajalih vijenaca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9,56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11,95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Ekshumacija posmrtnih ostataka do 15 god od ukopa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265,45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66,36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331,81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Ekshumacija posmrtnih ostataka starijih više od 15 god od ukopa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159,27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39.82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199,09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Dezinfekcija grobnog mjesta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7,96</w:t>
            </w:r>
          </w:p>
        </w:tc>
      </w:tr>
      <w:tr w:rsidR="000C1EC7" w:rsidRPr="004B4EFB" w:rsidTr="00AE686B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EC7" w:rsidRPr="004B4EFB" w:rsidRDefault="00A225FA" w:rsidP="00AE686B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Kremiranje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663,61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165,90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1EC7" w:rsidRPr="004B4EFB" w:rsidRDefault="00A225FA" w:rsidP="00AE686B">
            <w:pPr>
              <w:jc w:val="right"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829,51</w:t>
            </w:r>
          </w:p>
        </w:tc>
      </w:tr>
    </w:tbl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B4EFB">
        <w:rPr>
          <w:rFonts w:ascii="Times New Roman" w:hAnsi="Times New Roman" w:cs="Times New Roman"/>
          <w:b/>
          <w:sz w:val="28"/>
          <w:szCs w:val="28"/>
        </w:rPr>
        <w:t>Prijedlog izmjena Cjenika komunalne usluge ukopa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 xml:space="preserve">Sukladno odredbama gore navedenog Zakona, predlažemo davanje prethodne suglasnosti na izmjene Cjenika komunalnih usluga ukopa, koji bi se primjenjivao od 1. </w:t>
      </w:r>
      <w:r w:rsidR="00BE78CB">
        <w:rPr>
          <w:rFonts w:ascii="Times New Roman" w:hAnsi="Times New Roman" w:cs="Times New Roman"/>
        </w:rPr>
        <w:t>veljače</w:t>
      </w:r>
      <w:r w:rsidRPr="004B4EFB">
        <w:rPr>
          <w:rFonts w:ascii="Times New Roman" w:hAnsi="Times New Roman" w:cs="Times New Roman"/>
        </w:rPr>
        <w:t xml:space="preserve"> 2024. godine. </w:t>
      </w:r>
    </w:p>
    <w:p w:rsidR="000C1EC7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Predloženim izmjenama i dopunama cjenika dolazi do promjena cijena usluga.</w: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B4EFB">
        <w:rPr>
          <w:rFonts w:ascii="Times New Roman" w:hAnsi="Times New Roman" w:cs="Times New Roman"/>
          <w:b/>
          <w:sz w:val="28"/>
          <w:szCs w:val="28"/>
        </w:rPr>
        <w:t>Prijedlog promjene visine cijene usluge</w:t>
      </w:r>
    </w:p>
    <w:p w:rsidR="00AE686B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 xml:space="preserve">Kod usluga pod  svim rednim brojevima dolazi do promijene cijena usluga što je detaljno prikazano u usporednoj tablici, gdje je navedena postojeća cijena te prijedlog nove cijene s postotkom promjene visine cijene. </w:t>
      </w:r>
    </w:p>
    <w:p w:rsidR="000C1EC7" w:rsidRPr="004B4EFB" w:rsidRDefault="00A225FA" w:rsidP="00AE686B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>U nastavku teksta daje se tablični prikaz postojeće cijene, predložene nove cijene i njezine strukture zajedno s postotkom promjene u odnosu na postojeću cijenu.</w:t>
      </w:r>
    </w:p>
    <w:tbl>
      <w:tblPr>
        <w:tblpPr w:leftFromText="180" w:rightFromText="180" w:vertAnchor="text" w:horzAnchor="margin" w:tblpY="-7"/>
        <w:tblW w:w="9797" w:type="dxa"/>
        <w:tblLook w:val="04A0" w:firstRow="1" w:lastRow="0" w:firstColumn="1" w:lastColumn="0" w:noHBand="0" w:noVBand="1"/>
      </w:tblPr>
      <w:tblGrid>
        <w:gridCol w:w="724"/>
        <w:gridCol w:w="3201"/>
        <w:gridCol w:w="679"/>
        <w:gridCol w:w="1139"/>
        <w:gridCol w:w="1181"/>
        <w:gridCol w:w="852"/>
        <w:gridCol w:w="957"/>
        <w:gridCol w:w="1064"/>
      </w:tblGrid>
      <w:tr w:rsidR="002E4452" w:rsidRPr="002E4452" w:rsidTr="00BE78CB">
        <w:trPr>
          <w:trHeight w:val="95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lastRenderedPageBreak/>
              <w:t>R.br.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Naziv usluge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Jed. Mj.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Postojeća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bez PDV-a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Postojeća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s PDV-om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Nova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bez PDV-a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Nova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s PDV-om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Postotak (%)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sa zatrpavanjem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53,09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66,36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u okviru sa zatrpavanjem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59,73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74,66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95,00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27%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u okviru s pokrovnom pločom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66,36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82,95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33%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Otvaranje grobnice sa zatvaranjem (ploča do 1m širine)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35,84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44,80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34%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Otvaranje grobnice sa zatvaranjem (ploča preko 1m širine)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42,47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53,09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32%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za urnu u zemlji dim. otvora 40x40cm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7,96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9,95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Polaganje urne u klasični grob, grobnicu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2,12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89%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Ispraćaj pokojnika s polaganjem u grob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13,27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16,60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16,00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20%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Ispraćaj urne od mrtvačnice do grobnog mjesta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8,49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mrtvačnice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6,37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26%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11.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rashladnog odra – prvi dan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4,25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13%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12.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rashladnog odra – svaki sljedeći dan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2,12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13%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13.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Sanacija grobnog humka nakon slijeganja zemlje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6,37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14.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Odvoz i zbrinjavanje dotrajalih vijenaca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9,56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11,95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26%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15.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Ekshumacija posmrtnih ostataka do 15 god od ukopa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265,45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331,81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16.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Ekshumacija posmrtnih ostataka starijih više od 15 god od ukopa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159,27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199,09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51%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17.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Dezinfekcija grobnog mjesta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6,37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26%</w:t>
            </w:r>
          </w:p>
        </w:tc>
      </w:tr>
      <w:tr w:rsidR="002E4452" w:rsidRPr="002E4452" w:rsidTr="00BE78CB">
        <w:trPr>
          <w:trHeight w:val="668"/>
        </w:trPr>
        <w:tc>
          <w:tcPr>
            <w:tcW w:w="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18.</w:t>
            </w:r>
          </w:p>
        </w:tc>
        <w:tc>
          <w:tcPr>
            <w:tcW w:w="32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Kremiranje</w:t>
            </w:r>
          </w:p>
        </w:tc>
        <w:tc>
          <w:tcPr>
            <w:tcW w:w="6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663,61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829,51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21%</w:t>
            </w:r>
          </w:p>
        </w:tc>
      </w:tr>
    </w:tbl>
    <w:p w:rsidR="000C1EC7" w:rsidRPr="004B4EFB" w:rsidRDefault="000C1EC7" w:rsidP="00511B41">
      <w:pPr>
        <w:pStyle w:val="Standard"/>
        <w:spacing w:after="120"/>
        <w:ind w:firstLine="720"/>
        <w:rPr>
          <w:rFonts w:ascii="Times New Roman" w:hAnsi="Times New Roman" w:cs="Times New Roman"/>
        </w:rPr>
      </w:pPr>
    </w:p>
    <w:p w:rsidR="000C1EC7" w:rsidRPr="004B4EFB" w:rsidRDefault="00A225FA" w:rsidP="00511B41">
      <w:pPr>
        <w:pStyle w:val="Standard"/>
        <w:spacing w:after="120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</w:rPr>
        <w:tab/>
      </w:r>
    </w:p>
    <w:p w:rsidR="000C1EC7" w:rsidRPr="004B4EFB" w:rsidRDefault="00A225FA" w:rsidP="00511B41">
      <w:pPr>
        <w:pageBreakBefore/>
        <w:spacing w:after="120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Obrazloženje predloženih izmjena i dopuna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Zakonom o komunalnom gospodarstvu („Narodne novine“ br. 68/18, 110/18, 32/20) u čl. 53., propisuje da cijenu, način obračuna i plaćanja komunalne usluge određuje isporučitelj komunalne usluge, na način propisan Zakonom i Posebnim propisima.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Razlog za povećanje cijene komunalne usluge ukopa pokojnika unutar groblja je značajno povećanje svih troškova koji utječu na krajnju cijenu komunalne usluge ukopa pokojnika.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Minimalna plaća, djelatnika na poslovima ukopa, kao najveća troškovnička stavka u obavljanju poslova, u zadnjih 10 godina narasla je za oko 50%. Također, u tom periodu su cijene energenata, opreme i repromaterijala, koji se koristi prilikom pružanja usluga ukopa pokojnika, porasle u identičnom postotku.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Budući da je najavljeno donošenje odluke o novom povećanju minimalne plaće od 01. siječnja 2024. godine, doći će i do novog osjetnog povećanja troškova usluga ukopa.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Osim zakonskog nametanja povećanja plaća, koja služi kao osnovica obračuna plaće, svjesni smo potrebe dodatnog povećanja plaća zbog visokih inflatornih udara na građane i potpune nezainteresiranosti na tržištu radne snage za obavljanje ovih teških i zahtjevnih poslova.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>Sukladno gore navedenom, zbog znatnog povećanja svih troškova rada, Maslačak d.o.o. nije u mogućnosti pružati komunalne usluge ukopa na ekonomski isplativ način, stoga je nužno pristupiti predloženom povećanju cijena ukopa kako se ne bi dovelo u pitanje obavljanje ove djelatnosti.</w:t>
      </w:r>
    </w:p>
    <w:p w:rsidR="000C1EC7" w:rsidRPr="002E4452" w:rsidRDefault="00A225FA" w:rsidP="002E4452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4B4EFB">
        <w:rPr>
          <w:rFonts w:ascii="Times New Roman" w:hAnsi="Times New Roman" w:cs="Times New Roman"/>
          <w:color w:val="000000"/>
        </w:rPr>
        <w:t xml:space="preserve">U nastavku teksta dan je tablični prikaz novog cjenika sa strukturom cijene komunalnih usluga s početkom primjene od 01. </w:t>
      </w:r>
      <w:r w:rsidR="00BE78CB">
        <w:rPr>
          <w:rFonts w:ascii="Times New Roman" w:hAnsi="Times New Roman" w:cs="Times New Roman"/>
          <w:color w:val="000000"/>
        </w:rPr>
        <w:t>veljače</w:t>
      </w:r>
      <w:r w:rsidRPr="004B4EFB">
        <w:rPr>
          <w:rFonts w:ascii="Times New Roman" w:hAnsi="Times New Roman" w:cs="Times New Roman"/>
          <w:color w:val="000000"/>
        </w:rPr>
        <w:t xml:space="preserve"> 2024. godine.</w:t>
      </w:r>
    </w:p>
    <w:p w:rsidR="000C1EC7" w:rsidRPr="004B4EFB" w:rsidRDefault="000C1EC7" w:rsidP="00511B41">
      <w:pPr>
        <w:pStyle w:val="Standard"/>
        <w:spacing w:after="120"/>
        <w:rPr>
          <w:rFonts w:ascii="Times New Roman" w:hAnsi="Times New Roman" w:cs="Times New Roman"/>
          <w:color w:val="000000"/>
        </w:rPr>
      </w:pPr>
    </w:p>
    <w:p w:rsidR="00363D98" w:rsidRPr="004B4EFB" w:rsidRDefault="00363D98" w:rsidP="00363D98">
      <w:pPr>
        <w:pStyle w:val="Standard"/>
        <w:spacing w:after="120"/>
        <w:jc w:val="center"/>
        <w:rPr>
          <w:rFonts w:ascii="Times New Roman" w:hAnsi="Times New Roman" w:cs="Times New Roman"/>
          <w:color w:val="000000"/>
        </w:rPr>
      </w:pPr>
      <w:r w:rsidRPr="004B4EFB">
        <w:rPr>
          <w:rFonts w:ascii="Times New Roman" w:hAnsi="Times New Roman" w:cs="Times New Roman"/>
          <w:color w:val="000000"/>
        </w:rPr>
        <w:t>CJENIK KOMUNALNE USLUGE UKOPA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706"/>
        <w:gridCol w:w="5096"/>
        <w:gridCol w:w="851"/>
        <w:gridCol w:w="1417"/>
        <w:gridCol w:w="1559"/>
      </w:tblGrid>
      <w:tr w:rsidR="002E4452" w:rsidRPr="002E4452" w:rsidTr="002E4452">
        <w:trPr>
          <w:trHeight w:val="284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R.br.</w:t>
            </w:r>
          </w:p>
        </w:tc>
        <w:tc>
          <w:tcPr>
            <w:tcW w:w="5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Naziv usluge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Jed. Mj.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Nova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bez PDV-a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Nova cijena </w:t>
            </w:r>
            <w:r w:rsidR="00BE78CB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s PDV-om</w:t>
            </w:r>
            <w:bookmarkStart w:id="0" w:name="_GoBack"/>
            <w:bookmarkEnd w:id="0"/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sa zatrpavanjem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u okviru sa zatrpavanjem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95,00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u okviru s pokrovnom pločom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110,00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Otvaranje grobnice sa zatvaranjem (ploča do 1m širine)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Otvaranje grobnice sa zatvaranjem (ploča preko 1m širine)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70,00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Kopanje rake za urnu u zemlji dim. otvora 40x40cm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Polaganje urne u klasični grob, grobnicu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5,00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Ispraćaj pokojnika s polaganjem u grob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Ispraćaj urne od mrtvačnice do grobnog mjesta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mrtvačnice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11.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rashladnog odra – prvi dan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6,00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12.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Korištenje rashladnog odra – svaki sljedeći dan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13.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Sanacija grobnog humka nakon slijeganja zemlje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14.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Odvoz i zbrinjavanje dotrajalih vijenaca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15,00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15.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Ekshumacija posmrtnih ostataka do 15 god od ukopa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400,00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16.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Ekshumacija posmrtnih ostataka starijih više od 15 god od ukopa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300,00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17.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Dezinfekcija grobnog mjesta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10,00</w:t>
            </w:r>
          </w:p>
        </w:tc>
      </w:tr>
      <w:tr w:rsidR="002E4452" w:rsidRPr="002E4452" w:rsidTr="002E4452">
        <w:trPr>
          <w:trHeight w:val="284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B4C7DC" w:fill="B4C7DC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18.</w:t>
            </w:r>
          </w:p>
        </w:tc>
        <w:tc>
          <w:tcPr>
            <w:tcW w:w="50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Kremiranje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textAlignment w:val="auto"/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color w:val="000000"/>
                <w:kern w:val="0"/>
                <w:sz w:val="22"/>
                <w:szCs w:val="22"/>
                <w:lang w:eastAsia="hr-HR" w:bidi="ar-SA"/>
              </w:rPr>
              <w:t>kom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4452" w:rsidRPr="002E4452" w:rsidRDefault="002E4452" w:rsidP="002E4452">
            <w:pPr>
              <w:suppressAutoHyphens w:val="0"/>
              <w:autoSpaceDN/>
              <w:jc w:val="center"/>
              <w:textAlignment w:val="auto"/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2E4452">
              <w:rPr>
                <w:rFonts w:eastAsia="Times New Roman" w:cs="Liberation Serif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1000,00</w:t>
            </w:r>
          </w:p>
        </w:tc>
      </w:tr>
    </w:tbl>
    <w:p w:rsidR="000C1EC7" w:rsidRPr="004B4EFB" w:rsidRDefault="000C1EC7" w:rsidP="00363D98">
      <w:pPr>
        <w:pStyle w:val="Standard"/>
        <w:spacing w:after="120"/>
        <w:rPr>
          <w:rFonts w:ascii="Times New Roman" w:hAnsi="Times New Roman" w:cs="Times New Roman"/>
          <w:color w:val="000000"/>
        </w:rPr>
      </w:pPr>
    </w:p>
    <w:p w:rsidR="000C1EC7" w:rsidRPr="004B4EFB" w:rsidRDefault="000C1EC7" w:rsidP="00511B41">
      <w:pPr>
        <w:pageBreakBefore/>
        <w:spacing w:after="120"/>
        <w:rPr>
          <w:rFonts w:ascii="Times New Roman" w:hAnsi="Times New Roman" w:cs="Times New Roman"/>
          <w:color w:val="000000"/>
        </w:rPr>
      </w:pPr>
    </w:p>
    <w:p w:rsidR="000C1EC7" w:rsidRPr="004B4EFB" w:rsidRDefault="00A225FA" w:rsidP="00511B41">
      <w:pPr>
        <w:pStyle w:val="Standard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4EFB">
        <w:rPr>
          <w:rFonts w:ascii="Times New Roman" w:hAnsi="Times New Roman" w:cs="Times New Roman"/>
          <w:b/>
          <w:color w:val="000000"/>
          <w:sz w:val="28"/>
          <w:szCs w:val="28"/>
        </w:rPr>
        <w:t>Zaključak</w:t>
      </w:r>
    </w:p>
    <w:p w:rsidR="00363D98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  <w:color w:val="000000"/>
        </w:rPr>
      </w:pPr>
      <w:r w:rsidRPr="004B4EFB">
        <w:rPr>
          <w:rFonts w:ascii="Times New Roman" w:hAnsi="Times New Roman" w:cs="Times New Roman"/>
          <w:color w:val="000000"/>
        </w:rPr>
        <w:t>Temeljem navedenog, smatramo kako su predložene izmjene cjenika od strane isporučitelja komunalne usluge ukopa pokojnika opravdane, te da se iste u okviru pokrivanja troškova pružanja usluge i osiguravanje održivog poslovanja tvrtke.</w:t>
      </w:r>
    </w:p>
    <w:p w:rsidR="000C1EC7" w:rsidRPr="004B4EFB" w:rsidRDefault="00A225FA" w:rsidP="00363D98">
      <w:pPr>
        <w:pStyle w:val="Standard"/>
        <w:spacing w:after="120"/>
        <w:jc w:val="both"/>
        <w:rPr>
          <w:rFonts w:ascii="Times New Roman" w:hAnsi="Times New Roman" w:cs="Times New Roman"/>
          <w:color w:val="000000"/>
        </w:rPr>
      </w:pPr>
      <w:r w:rsidRPr="004B4EFB">
        <w:rPr>
          <w:rFonts w:ascii="Times New Roman" w:hAnsi="Times New Roman" w:cs="Times New Roman"/>
          <w:noProof/>
          <w:color w:val="000000"/>
          <w:lang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1259201</wp:posOffset>
                </wp:positionV>
                <wp:extent cx="2360925" cy="1404618"/>
                <wp:effectExtent l="0" t="0" r="1275" b="5082"/>
                <wp:wrapSquare wrapText="bothSides"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25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C1EC7" w:rsidRDefault="00A225FA">
                            <w:pPr>
                              <w:jc w:val="center"/>
                            </w:pPr>
                            <w:r>
                              <w:t>Maslačak d.o.o.</w:t>
                            </w:r>
                          </w:p>
                          <w:p w:rsidR="000C1EC7" w:rsidRDefault="00A225FA">
                            <w:pPr>
                              <w:jc w:val="center"/>
                            </w:pPr>
                            <w:r>
                              <w:t>Direktor Josip Ivančević</w:t>
                            </w:r>
                          </w:p>
                          <w:p w:rsidR="000C1EC7" w:rsidRDefault="000C1EC7">
                            <w:pPr>
                              <w:jc w:val="center"/>
                            </w:pPr>
                          </w:p>
                          <w:p w:rsidR="000C1EC7" w:rsidRDefault="000C1EC7">
                            <w:pPr>
                              <w:jc w:val="center"/>
                            </w:pPr>
                          </w:p>
                          <w:p w:rsidR="000C1EC7" w:rsidRDefault="00A225FA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7" type="#_x0000_t202" style="position:absolute;left:0;text-align:left;margin-left:134.7pt;margin-top:99.15pt;width:185.9pt;height:110.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" stroked="f">
                <v:textbox style="mso-fit-shape-to-text:t">
                  <w:txbxContent>
                    <w:p w:rsidR="000C1EC7" w:rsidRDefault="00A225FA">
                      <w:pPr>
                        <w:jc w:val="center"/>
                      </w:pPr>
                      <w:r>
                        <w:t>Maslačak d.o.o.</w:t>
                      </w:r>
                    </w:p>
                    <w:p w:rsidR="000C1EC7" w:rsidRDefault="00A225FA">
                      <w:pPr>
                        <w:jc w:val="center"/>
                      </w:pPr>
                      <w:r>
                        <w:t>Direktor Josip Ivančević</w:t>
                      </w:r>
                    </w:p>
                    <w:p w:rsidR="000C1EC7" w:rsidRDefault="000C1EC7">
                      <w:pPr>
                        <w:jc w:val="center"/>
                      </w:pPr>
                    </w:p>
                    <w:p w:rsidR="000C1EC7" w:rsidRDefault="000C1EC7">
                      <w:pPr>
                        <w:jc w:val="center"/>
                      </w:pPr>
                    </w:p>
                    <w:p w:rsidR="000C1EC7" w:rsidRDefault="00A225FA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4EFB">
        <w:rPr>
          <w:rFonts w:ascii="Times New Roman" w:hAnsi="Times New Roman" w:cs="Times New Roman"/>
          <w:color w:val="000000"/>
        </w:rPr>
        <w:t xml:space="preserve">Sukladno gore navedenom, te u suglasju sa člankom 55. stavak 1. Zakona, predlaže se općinskom načelniku Općine </w:t>
      </w:r>
      <w:proofErr w:type="spellStart"/>
      <w:r w:rsidRPr="004B4EFB">
        <w:rPr>
          <w:rFonts w:ascii="Times New Roman" w:hAnsi="Times New Roman" w:cs="Times New Roman"/>
          <w:color w:val="000000"/>
        </w:rPr>
        <w:t>Levanjska</w:t>
      </w:r>
      <w:proofErr w:type="spellEnd"/>
      <w:r w:rsidRPr="004B4EFB">
        <w:rPr>
          <w:rFonts w:ascii="Times New Roman" w:hAnsi="Times New Roman" w:cs="Times New Roman"/>
          <w:color w:val="000000"/>
        </w:rPr>
        <w:t xml:space="preserve"> Varoš davanje prethodne suglasnosti tvrtki Maslačak d.o.o. na izmjenu i dopunu cjenika komunalne usluge ukopa za općinu </w:t>
      </w:r>
      <w:proofErr w:type="spellStart"/>
      <w:r w:rsidRPr="004B4EFB">
        <w:rPr>
          <w:rFonts w:ascii="Times New Roman" w:hAnsi="Times New Roman" w:cs="Times New Roman"/>
          <w:color w:val="000000"/>
        </w:rPr>
        <w:t>Levanjska</w:t>
      </w:r>
      <w:proofErr w:type="spellEnd"/>
      <w:r w:rsidRPr="004B4EFB">
        <w:rPr>
          <w:rFonts w:ascii="Times New Roman" w:hAnsi="Times New Roman" w:cs="Times New Roman"/>
          <w:color w:val="000000"/>
        </w:rPr>
        <w:t xml:space="preserve"> Varoš koji se nalazi u prilogu </w:t>
      </w:r>
      <w:proofErr w:type="spellStart"/>
      <w:r w:rsidRPr="004B4EFB">
        <w:rPr>
          <w:rFonts w:ascii="Times New Roman" w:hAnsi="Times New Roman" w:cs="Times New Roman"/>
          <w:color w:val="000000"/>
        </w:rPr>
        <w:t>ičini</w:t>
      </w:r>
      <w:proofErr w:type="spellEnd"/>
      <w:r w:rsidRPr="004B4E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4EFB">
        <w:rPr>
          <w:rFonts w:ascii="Times New Roman" w:hAnsi="Times New Roman" w:cs="Times New Roman"/>
          <w:color w:val="000000"/>
        </w:rPr>
        <w:t>sastvani</w:t>
      </w:r>
      <w:proofErr w:type="spellEnd"/>
      <w:r w:rsidRPr="004B4EFB">
        <w:rPr>
          <w:rFonts w:ascii="Times New Roman" w:hAnsi="Times New Roman" w:cs="Times New Roman"/>
          <w:color w:val="000000"/>
        </w:rPr>
        <w:t xml:space="preserve"> dio ovog prijedloga.</w:t>
      </w:r>
    </w:p>
    <w:sectPr w:rsidR="000C1EC7" w:rsidRPr="004B4E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28" w:rsidRDefault="00630228">
      <w:r>
        <w:separator/>
      </w:r>
    </w:p>
  </w:endnote>
  <w:endnote w:type="continuationSeparator" w:id="0">
    <w:p w:rsidR="00630228" w:rsidRDefault="0063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28" w:rsidRDefault="00630228">
      <w:r>
        <w:rPr>
          <w:color w:val="000000"/>
        </w:rPr>
        <w:separator/>
      </w:r>
    </w:p>
  </w:footnote>
  <w:footnote w:type="continuationSeparator" w:id="0">
    <w:p w:rsidR="00630228" w:rsidRDefault="0063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C7"/>
    <w:rsid w:val="000C1EC7"/>
    <w:rsid w:val="00161A51"/>
    <w:rsid w:val="002E4452"/>
    <w:rsid w:val="00363D98"/>
    <w:rsid w:val="004B4EFB"/>
    <w:rsid w:val="00511B41"/>
    <w:rsid w:val="00630228"/>
    <w:rsid w:val="0095204E"/>
    <w:rsid w:val="00A225FA"/>
    <w:rsid w:val="00AE686B"/>
    <w:rsid w:val="00BE78CB"/>
    <w:rsid w:val="00BF0CF6"/>
    <w:rsid w:val="00CC74A5"/>
    <w:rsid w:val="00C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9499"/>
  <w15:docId w15:val="{32209E60-8E2A-4C24-A269-FF1C07C5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rPr>
      <w:rFonts w:cs="Mangal"/>
      <w:szCs w:val="21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rPr>
      <w:rFonts w:cs="Mangal"/>
      <w:szCs w:val="21"/>
    </w:rPr>
  </w:style>
  <w:style w:type="paragraph" w:styleId="Tekstbalonia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 w:cs="Mangal"/>
      <w:sz w:val="18"/>
      <w:szCs w:val="16"/>
    </w:rPr>
  </w:style>
  <w:style w:type="table" w:styleId="Reetkatablice">
    <w:name w:val="Table Grid"/>
    <w:basedOn w:val="Obinatablica"/>
    <w:uiPriority w:val="39"/>
    <w:rsid w:val="0036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 Gurdon</cp:lastModifiedBy>
  <cp:revision>5</cp:revision>
  <cp:lastPrinted>2023-12-20T08:51:00Z</cp:lastPrinted>
  <dcterms:created xsi:type="dcterms:W3CDTF">2023-12-19T12:58:00Z</dcterms:created>
  <dcterms:modified xsi:type="dcterms:W3CDTF">2024-01-09T08:44:00Z</dcterms:modified>
</cp:coreProperties>
</file>